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1E09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Pubblicato, sul sito internet del Ministero del Lavoro, il Decreto del 22 gennaio 2021 del Ministero del Lavoro e del Ministero dell’Economia e delle finanze, il quale, modificando il precedente Decreto del 9 ottobre 2020 (</w:t>
      </w:r>
      <w:proofErr w:type="spellStart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Lavoronews</w:t>
      </w:r>
      <w:proofErr w:type="spellEnd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n. 181/2020), regola i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termini e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le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modalità di accesso al Fondo Nuove Competenze.</w:t>
      </w:r>
    </w:p>
    <w:p w14:paraId="4F160FE4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Il Fondo, costituito presso l’</w:t>
      </w:r>
      <w:proofErr w:type="spellStart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Anpal</w:t>
      </w:r>
      <w:proofErr w:type="spellEnd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, è finalizzato ad innalzare il livello del capitale umano nel mercato del lavoro, offrendo ai lavoratori l’opportunità di acquisire nuove o maggiori competenze e di dotarsi degli strumenti utili per adattarsi alle nuove condizioni del mercato del lavoro, sostenendo le imprese nel processo di adeguamento ai nuovi modelli organizzativi e produttivi determinati dall’emergenza epidemiologica da COVID-19.</w:t>
      </w:r>
    </w:p>
    <w:p w14:paraId="1C6C88C1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Al Fondo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 xml:space="preserve">possono accedere tutti i datori di lavoro del settore privato </w:t>
      </w:r>
      <w:proofErr w:type="spellStart"/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purchè</w:t>
      </w:r>
      <w:proofErr w:type="spellEnd"/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 xml:space="preserve"> siano stati sottoscritti specifici accordi collettivi aziendali o territoriali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, da associazioni dei datori di lavoro e dei lavoratori comparativamente più rappresentative in ambito nazionale, ovvero dalle loro rappresentanze sindacali operative in azienda, che prevedano una rimodulazione temporanea dell’orario di lavoro per mutate esigenze organizzative e produttive dell’impresa, stabilendo che parte dell’orario di lavoro sia destinato a percorsi di sviluppo delle competenze del lavoratore.</w:t>
      </w:r>
    </w:p>
    <w:p w14:paraId="0AC70F4F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L’ANPAL, con una recente FAQ (n. 18 – Presentazione della domanda) pubblicata sul sito istituzionale, ha chiarito che gli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accordi collettivi a livello aziendale possono essere sottoscritti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, con efficacia erga omnes,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anche da una sola organizzazione sindacale, purché sia maggiormente rappresentativa a livello aziendale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.</w:t>
      </w:r>
    </w:p>
    <w:p w14:paraId="11A31036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Gli accordi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dovranno essere sottoscritti entro il 30 giugno 2021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e dovranno prevedere:</w:t>
      </w:r>
    </w:p>
    <w:p w14:paraId="37B1982C" w14:textId="77777777" w:rsidR="00524277" w:rsidRPr="00D6411A" w:rsidRDefault="00524277" w:rsidP="005242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 progetti formativi;</w:t>
      </w:r>
    </w:p>
    <w:p w14:paraId="33279E6F" w14:textId="77777777" w:rsidR="00524277" w:rsidRPr="00D6411A" w:rsidRDefault="00524277" w:rsidP="005242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il numero dei lavoratori coinvolti nell’intervento;</w:t>
      </w:r>
    </w:p>
    <w:p w14:paraId="11F5E8FC" w14:textId="77777777" w:rsidR="00524277" w:rsidRPr="00D6411A" w:rsidRDefault="00524277" w:rsidP="005242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il numero delle ore dell’orario di lavoro da destinare alla formazione, fino al limite massimo di 250 ore per ciascun dipendente;</w:t>
      </w:r>
    </w:p>
    <w:p w14:paraId="21F7CB2A" w14:textId="77777777" w:rsidR="00524277" w:rsidRPr="00D6411A" w:rsidRDefault="00524277" w:rsidP="005242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limitatamente ai casi in cui sia la stessa impresa ad erogare la formazione: la dimostrazione dei requisiti tecnici, fisici e professionali di capacità formativa per lo svolgimento del progetto.</w:t>
      </w:r>
    </w:p>
    <w:p w14:paraId="3A39C5E7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Gli accordi collettivi devono individuare i fabbisogni del datore di lavoro in termini di nuove o maggiori competenze, in ragione dell’introduzione di innovazioni organizzative, tecnologiche, di processo, di prodotto o servizi in risposta alle mutate esigenze dell’impresa, e del relativo adeguamento necessario per qualificare e riqualificare il lavoratore in relazione ai fabbisogni individuati, di norma, anche al fine del conseguimento di una qualificazione di livello EQF 3 o 4.</w:t>
      </w:r>
    </w:p>
    <w:p w14:paraId="5569F8DF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Gli accordi possono, altresì, prevedere lo sviluppo di competenze finalizzate ad incrementare l’occupabilità del lavoratore, anche al fine di promuovere processi di mobilità e ricollocazione in altre realtà lavorative coerenti con il sistema regionale di individuazione, validazione e certificazione delle competenze regionali.</w:t>
      </w:r>
    </w:p>
    <w:p w14:paraId="5D7D6790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L’attività di formazione può essere avviata solo dopo l’approvazione della domanda presentata dal datore di lavoro all’ANPAL.</w:t>
      </w:r>
    </w:p>
    <w:p w14:paraId="2EFAF660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Le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domande di accesso</w:t>
      </w: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al Fondo nuovo competenze </w:t>
      </w:r>
      <w:r w:rsidRPr="00D6411A"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  <w:t>devono essere presentate all’ANPAL entro e non oltre il 30 giugno 2021.</w:t>
      </w:r>
    </w:p>
    <w:p w14:paraId="6CCA8C66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Dallo scorso 18 gennaio ANPAL ha rilasciato il servizio “Fondo nuove competenze” per la presentazione online delle domande di accesso al Fondo in sostituzione della procedura via </w:t>
      </w:r>
      <w:proofErr w:type="spellStart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pec</w:t>
      </w:r>
      <w:proofErr w:type="spellEnd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, disponibile all’indirizzo https://myanpal.anpal.gov.it/myanpal/ (</w:t>
      </w:r>
      <w:proofErr w:type="spellStart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Lavoronews</w:t>
      </w:r>
      <w:proofErr w:type="spellEnd"/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n. 9/2021).</w:t>
      </w:r>
    </w:p>
    <w:p w14:paraId="317928DB" w14:textId="77777777" w:rsidR="00524277" w:rsidRPr="00D6411A" w:rsidRDefault="00524277" w:rsidP="005242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6411A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Per accedere alla piattaforma è richiesta l’identità SPID.</w:t>
      </w:r>
    </w:p>
    <w:p w14:paraId="4CA1F983" w14:textId="77777777" w:rsidR="00340EBF" w:rsidRPr="00D6411A" w:rsidRDefault="00340EBF">
      <w:pPr>
        <w:rPr>
          <w:sz w:val="20"/>
          <w:szCs w:val="20"/>
        </w:rPr>
      </w:pPr>
      <w:bookmarkStart w:id="0" w:name="_GoBack"/>
      <w:bookmarkEnd w:id="0"/>
    </w:p>
    <w:sectPr w:rsidR="00340EBF" w:rsidRPr="00D6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876"/>
    <w:multiLevelType w:val="multilevel"/>
    <w:tmpl w:val="F90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7"/>
    <w:rsid w:val="00340EBF"/>
    <w:rsid w:val="00524277"/>
    <w:rsid w:val="005B7F11"/>
    <w:rsid w:val="00D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DFC"/>
  <w15:chartTrackingRefBased/>
  <w15:docId w15:val="{FA600287-BBAE-40D6-90E3-71C4DE7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050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067FB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EBT</dc:creator>
  <cp:keywords/>
  <dc:description/>
  <cp:lastModifiedBy>Chiara Pesce</cp:lastModifiedBy>
  <cp:revision>3</cp:revision>
  <dcterms:created xsi:type="dcterms:W3CDTF">2021-02-19T10:14:00Z</dcterms:created>
  <dcterms:modified xsi:type="dcterms:W3CDTF">2021-02-19T11:16:00Z</dcterms:modified>
</cp:coreProperties>
</file>