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6" w:rsidRPr="002E33DF" w:rsidRDefault="00C84EF0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 xml:space="preserve">ESTRATTO </w:t>
      </w:r>
      <w:r w:rsidR="009A01D6" w:rsidRPr="002E33DF">
        <w:rPr>
          <w:rFonts w:cs="Verdana"/>
          <w:b/>
          <w:sz w:val="28"/>
          <w:szCs w:val="28"/>
        </w:rPr>
        <w:t>D</w:t>
      </w:r>
      <w:r>
        <w:rPr>
          <w:rFonts w:cs="Verdana"/>
          <w:b/>
          <w:sz w:val="28"/>
          <w:szCs w:val="28"/>
        </w:rPr>
        <w:t xml:space="preserve">ECRETO </w:t>
      </w:r>
      <w:r w:rsidR="009A01D6" w:rsidRPr="002E33DF">
        <w:rPr>
          <w:rFonts w:cs="Verdana"/>
          <w:b/>
          <w:sz w:val="28"/>
          <w:szCs w:val="28"/>
        </w:rPr>
        <w:t>L</w:t>
      </w:r>
      <w:r>
        <w:rPr>
          <w:rFonts w:cs="Verdana"/>
          <w:b/>
          <w:sz w:val="28"/>
          <w:szCs w:val="28"/>
        </w:rPr>
        <w:t>EGGE</w:t>
      </w:r>
      <w:r w:rsidR="009A01D6" w:rsidRPr="002E33DF">
        <w:rPr>
          <w:rFonts w:cs="Verdana"/>
          <w:b/>
          <w:sz w:val="28"/>
          <w:szCs w:val="28"/>
        </w:rPr>
        <w:t xml:space="preserve"> 21 ottobre 2021, n. 146 (1).</w:t>
      </w:r>
    </w:p>
    <w:p w:rsidR="002E33DF" w:rsidRPr="002E33DF" w:rsidRDefault="002E33DF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</w:p>
    <w:p w:rsidR="009A01D6" w:rsidRPr="002E33DF" w:rsidRDefault="009A01D6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2E33DF">
        <w:rPr>
          <w:rFonts w:cs="Verdana"/>
          <w:b/>
          <w:sz w:val="28"/>
          <w:szCs w:val="28"/>
        </w:rPr>
        <w:t>Misure urgenti in materia economica e fiscale, a tutela del</w:t>
      </w:r>
      <w:r w:rsidR="002E33DF">
        <w:rPr>
          <w:rFonts w:cs="Verdana"/>
          <w:b/>
          <w:sz w:val="28"/>
          <w:szCs w:val="28"/>
        </w:rPr>
        <w:t xml:space="preserve"> </w:t>
      </w:r>
      <w:r w:rsidRPr="002E33DF">
        <w:rPr>
          <w:rFonts w:cs="Verdana"/>
          <w:b/>
          <w:sz w:val="28"/>
          <w:szCs w:val="28"/>
        </w:rPr>
        <w:t>lavoro e per esigenze indifferibili.</w:t>
      </w:r>
    </w:p>
    <w:p w:rsidR="00594682" w:rsidRDefault="00594682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  <w:r w:rsidRPr="002E33DF">
        <w:rPr>
          <w:rFonts w:cs="Verdana"/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2515870</wp:posOffset>
                </wp:positionH>
                <wp:positionV relativeFrom="paragraph">
                  <wp:posOffset>153091</wp:posOffset>
                </wp:positionV>
                <wp:extent cx="3991555" cy="31805"/>
                <wp:effectExtent l="0" t="0" r="28575" b="2540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1555" cy="318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7BA8B" id="Connettore 1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2.05pt" to="512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2E33DF" w:rsidRPr="002E33DF" w:rsidRDefault="002E33DF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sz w:val="28"/>
          <w:szCs w:val="28"/>
        </w:rPr>
      </w:pPr>
    </w:p>
    <w:p w:rsidR="009A01D6" w:rsidRPr="002E33DF" w:rsidRDefault="009A01D6" w:rsidP="002E33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87"/>
        <w:rPr>
          <w:rFonts w:cs="Verdana"/>
          <w:sz w:val="28"/>
          <w:szCs w:val="28"/>
        </w:rPr>
      </w:pPr>
      <w:r w:rsidRPr="002E33DF">
        <w:rPr>
          <w:rFonts w:cs="Verdana"/>
          <w:sz w:val="28"/>
          <w:szCs w:val="28"/>
        </w:rPr>
        <w:t xml:space="preserve">Pubblicata nella </w:t>
      </w:r>
      <w:proofErr w:type="spellStart"/>
      <w:r w:rsidRPr="002E33DF">
        <w:rPr>
          <w:rFonts w:cs="Verdana"/>
          <w:sz w:val="28"/>
          <w:szCs w:val="28"/>
        </w:rPr>
        <w:t>Gazz</w:t>
      </w:r>
      <w:proofErr w:type="spellEnd"/>
      <w:r w:rsidRPr="002E33DF">
        <w:rPr>
          <w:rFonts w:cs="Verdana"/>
          <w:sz w:val="28"/>
          <w:szCs w:val="28"/>
        </w:rPr>
        <w:t>. Uff. 21 ottobre 2021, n. 252.</w:t>
      </w:r>
    </w:p>
    <w:p w:rsidR="002E33DF" w:rsidRDefault="002E33DF" w:rsidP="002E33D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:rsidR="002E33DF" w:rsidRPr="002E33DF" w:rsidRDefault="002E33DF" w:rsidP="002E33D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3478</wp:posOffset>
                </wp:positionH>
                <wp:positionV relativeFrom="paragraph">
                  <wp:posOffset>61457</wp:posOffset>
                </wp:positionV>
                <wp:extent cx="6503587" cy="23854"/>
                <wp:effectExtent l="0" t="0" r="31115" b="3365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3587" cy="238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0846B" id="Connettore 1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85pt" to="51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</w:p>
    <w:p w:rsidR="00C84EF0" w:rsidRPr="002E33DF" w:rsidRDefault="00C84EF0" w:rsidP="002E33DF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*******</w:t>
      </w:r>
    </w:p>
    <w:p w:rsidR="002E33DF" w:rsidRPr="002E33DF" w:rsidRDefault="002E33DF" w:rsidP="002E33D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8"/>
          <w:szCs w:val="28"/>
        </w:rPr>
      </w:pPr>
    </w:p>
    <w:p w:rsidR="009A01D6" w:rsidRDefault="009A01D6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i/>
          <w:iCs/>
          <w:sz w:val="28"/>
          <w:szCs w:val="28"/>
        </w:rPr>
      </w:pPr>
      <w:r w:rsidRPr="002E33DF">
        <w:rPr>
          <w:rFonts w:cs="Verdana"/>
          <w:b/>
          <w:sz w:val="28"/>
          <w:szCs w:val="28"/>
        </w:rPr>
        <w:t xml:space="preserve">Art. 11. </w:t>
      </w:r>
      <w:r w:rsidRPr="002E33DF">
        <w:rPr>
          <w:rFonts w:cs="Verdana"/>
          <w:b/>
          <w:i/>
          <w:iCs/>
          <w:sz w:val="28"/>
          <w:szCs w:val="28"/>
        </w:rPr>
        <w:t>Ulteriori disposizioni in materia di trattamenti di integrazione salariale</w:t>
      </w:r>
    </w:p>
    <w:p w:rsidR="00C84EF0" w:rsidRPr="002E33DF" w:rsidRDefault="00C84EF0" w:rsidP="009A01D6">
      <w:pPr>
        <w:autoSpaceDE w:val="0"/>
        <w:autoSpaceDN w:val="0"/>
        <w:adjustRightInd w:val="0"/>
        <w:spacing w:after="0" w:line="240" w:lineRule="auto"/>
        <w:rPr>
          <w:rFonts w:cs="Verdana"/>
          <w:b/>
          <w:i/>
          <w:iCs/>
          <w:sz w:val="28"/>
          <w:szCs w:val="28"/>
        </w:rPr>
      </w:pPr>
    </w:p>
    <w:p w:rsidR="009A01D6" w:rsidRPr="004655DB" w:rsidRDefault="009A01D6" w:rsidP="004655DB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I datori di lavoro di cui all'</w:t>
      </w:r>
      <w:r w:rsidRPr="004655DB">
        <w:rPr>
          <w:rFonts w:cs="Verdana"/>
          <w:i/>
          <w:iCs/>
          <w:sz w:val="24"/>
          <w:szCs w:val="24"/>
        </w:rPr>
        <w:t>articolo 8, comma 2, del decreto-legge</w:t>
      </w:r>
      <w:r w:rsidR="00C84EF0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22 marzo 2021, n. 41</w:t>
      </w:r>
      <w:r w:rsidRPr="004655DB">
        <w:rPr>
          <w:rFonts w:cs="Verdana"/>
          <w:sz w:val="24"/>
          <w:szCs w:val="24"/>
        </w:rPr>
        <w:t>, convertito, con modificazioni, dalla legge 21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maggio 2021, n. 69, che sospendono o riducono l'attività lavorativa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per eventi riconducibili all'emergenza epidemiologica da COVID-19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possono presentare, per i lavoratori in forza alla data di entrata in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vigore del presente decreto, domanda di assegno ordinario e di cassa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integrazione salariale in deroga di cui agli </w:t>
      </w:r>
      <w:r w:rsidRPr="004655DB">
        <w:rPr>
          <w:rFonts w:cs="Verdana"/>
          <w:i/>
          <w:iCs/>
          <w:sz w:val="24"/>
          <w:szCs w:val="24"/>
        </w:rPr>
        <w:t>articoli 19</w:t>
      </w:r>
      <w:r w:rsidRPr="004655DB">
        <w:rPr>
          <w:rFonts w:cs="Verdana"/>
          <w:sz w:val="24"/>
          <w:szCs w:val="24"/>
        </w:rPr>
        <w:t xml:space="preserve">, </w:t>
      </w:r>
      <w:r w:rsidRPr="004655DB">
        <w:rPr>
          <w:rFonts w:cs="Verdana"/>
          <w:i/>
          <w:iCs/>
          <w:sz w:val="24"/>
          <w:szCs w:val="24"/>
        </w:rPr>
        <w:t>21</w:t>
      </w:r>
      <w:r w:rsidRPr="004655DB">
        <w:rPr>
          <w:rFonts w:cs="Verdana"/>
          <w:sz w:val="24"/>
          <w:szCs w:val="24"/>
        </w:rPr>
        <w:t xml:space="preserve">, </w:t>
      </w:r>
      <w:r w:rsidRPr="004655DB">
        <w:rPr>
          <w:rFonts w:cs="Verdana"/>
          <w:i/>
          <w:iCs/>
          <w:sz w:val="24"/>
          <w:szCs w:val="24"/>
        </w:rPr>
        <w:t xml:space="preserve">22 </w:t>
      </w:r>
      <w:r w:rsidRPr="004655DB">
        <w:rPr>
          <w:rFonts w:cs="Verdana"/>
          <w:sz w:val="24"/>
          <w:szCs w:val="24"/>
        </w:rPr>
        <w:t xml:space="preserve">e </w:t>
      </w:r>
      <w:r w:rsidRPr="004655DB">
        <w:rPr>
          <w:rFonts w:cs="Verdana"/>
          <w:i/>
          <w:iCs/>
          <w:sz w:val="24"/>
          <w:szCs w:val="24"/>
        </w:rPr>
        <w:t>22-quater del decreto-legge 17 marzo 2020, n. 18</w:t>
      </w:r>
      <w:r w:rsidRPr="004655DB">
        <w:rPr>
          <w:rFonts w:cs="Verdana"/>
          <w:sz w:val="24"/>
          <w:szCs w:val="24"/>
        </w:rPr>
        <w:t>, convertito, con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modificazioni, dalla </w:t>
      </w:r>
      <w:r w:rsidRPr="004655DB">
        <w:rPr>
          <w:rFonts w:cs="Verdana"/>
          <w:i/>
          <w:iCs/>
          <w:sz w:val="24"/>
          <w:szCs w:val="24"/>
        </w:rPr>
        <w:t>legge 24 aprile 2020, n. 27</w:t>
      </w:r>
      <w:r w:rsidRPr="004655DB">
        <w:rPr>
          <w:rFonts w:cs="Verdana"/>
          <w:sz w:val="24"/>
          <w:szCs w:val="24"/>
        </w:rPr>
        <w:t>, per una durata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massima di tredici settimane nel periodo tra il 1° ottobre e il 31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dicembre 2021, secondo le modalità previste al comma 4. Per i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trattamenti concessi ai sensi del presente comma non è dovuto alcun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contributo addizionale. I trattamenti di cui al presente comma sono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concessi nel limite massimo di spesa pari a 657,9 milioni di euro per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l'anno 2021, ripartito in 304,3 milioni di euro per i </w:t>
      </w:r>
      <w:r w:rsidR="00C84EF0" w:rsidRPr="004655DB">
        <w:rPr>
          <w:rFonts w:cs="Verdana"/>
          <w:sz w:val="24"/>
          <w:szCs w:val="24"/>
        </w:rPr>
        <w:t>t</w:t>
      </w:r>
      <w:r w:rsidRPr="004655DB">
        <w:rPr>
          <w:rFonts w:cs="Verdana"/>
          <w:sz w:val="24"/>
          <w:szCs w:val="24"/>
        </w:rPr>
        <w:t>rattamenti di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assegno ordinario e in 353,6 milioni di euro per i trattamenti di cassa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integrazione in deroga. L'INPS provvede al monitoraggio del limite di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spesa di cui al presente </w:t>
      </w:r>
      <w:r w:rsidR="00C84EF0" w:rsidRPr="004655DB">
        <w:rPr>
          <w:rFonts w:cs="Verdana"/>
          <w:sz w:val="24"/>
          <w:szCs w:val="24"/>
        </w:rPr>
        <w:t>c</w:t>
      </w:r>
      <w:r w:rsidRPr="004655DB">
        <w:rPr>
          <w:rFonts w:cs="Verdana"/>
          <w:sz w:val="24"/>
          <w:szCs w:val="24"/>
        </w:rPr>
        <w:t>omma. Qualora dal predetto monitoraggio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emerga che è stato raggiunto anche in via prospettica il limite di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spesa, l'INPS non prende in considerazione ulteriori domande.</w:t>
      </w:r>
    </w:p>
    <w:p w:rsidR="004655DB" w:rsidRPr="004655DB" w:rsidRDefault="004655DB" w:rsidP="004655DB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Verdana"/>
          <w:sz w:val="24"/>
          <w:szCs w:val="24"/>
        </w:rPr>
      </w:pPr>
    </w:p>
    <w:p w:rsidR="009A01D6" w:rsidRDefault="004655DB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2.</w:t>
      </w:r>
      <w:r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ab/>
        <w:t xml:space="preserve"> </w:t>
      </w:r>
      <w:r w:rsidR="009A01D6" w:rsidRPr="004655DB">
        <w:rPr>
          <w:rFonts w:cs="Verdana"/>
          <w:sz w:val="24"/>
          <w:szCs w:val="24"/>
        </w:rPr>
        <w:t>I datori di lavoro di cui all'</w:t>
      </w:r>
      <w:r w:rsidR="009A01D6" w:rsidRPr="004655DB">
        <w:rPr>
          <w:rFonts w:cs="Verdana"/>
          <w:i/>
          <w:iCs/>
          <w:sz w:val="24"/>
          <w:szCs w:val="24"/>
        </w:rPr>
        <w:t>articolo 50-bis, comma 2, del decreto</w:t>
      </w:r>
      <w:r w:rsidR="00C84EF0" w:rsidRPr="004655DB">
        <w:rPr>
          <w:rFonts w:cs="Verdana"/>
          <w:i/>
          <w:iCs/>
          <w:sz w:val="24"/>
          <w:szCs w:val="24"/>
        </w:rPr>
        <w:t xml:space="preserve"> </w:t>
      </w:r>
      <w:r w:rsidR="009A01D6" w:rsidRPr="004655DB">
        <w:rPr>
          <w:rFonts w:cs="Verdana"/>
          <w:i/>
          <w:iCs/>
          <w:sz w:val="24"/>
          <w:szCs w:val="24"/>
        </w:rPr>
        <w:t>legge</w:t>
      </w:r>
      <w:r w:rsidR="00C84EF0" w:rsidRPr="004655DB">
        <w:rPr>
          <w:rFonts w:cs="Verdana"/>
          <w:i/>
          <w:iCs/>
          <w:sz w:val="24"/>
          <w:szCs w:val="24"/>
        </w:rPr>
        <w:t xml:space="preserve"> </w:t>
      </w:r>
      <w:r w:rsidR="009A01D6" w:rsidRPr="004655DB">
        <w:rPr>
          <w:rFonts w:cs="Verdana"/>
          <w:i/>
          <w:iCs/>
          <w:sz w:val="24"/>
          <w:szCs w:val="24"/>
        </w:rPr>
        <w:t>25 maggio 2021, n. 73</w:t>
      </w:r>
      <w:r w:rsidR="009A01D6" w:rsidRPr="004655DB">
        <w:rPr>
          <w:rFonts w:cs="Verdana"/>
          <w:sz w:val="24"/>
          <w:szCs w:val="24"/>
        </w:rPr>
        <w:t>, convertito, con modificazioni,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 xml:space="preserve">dalla </w:t>
      </w:r>
      <w:r w:rsidR="009A01D6" w:rsidRPr="004655DB">
        <w:rPr>
          <w:rFonts w:cs="Verdana"/>
          <w:i/>
          <w:iCs/>
          <w:sz w:val="24"/>
          <w:szCs w:val="24"/>
        </w:rPr>
        <w:t>legge 23 luglio 2021, n. 106</w:t>
      </w:r>
      <w:r w:rsidR="009A01D6" w:rsidRPr="004655DB">
        <w:rPr>
          <w:rFonts w:cs="Verdana"/>
          <w:sz w:val="24"/>
          <w:szCs w:val="24"/>
        </w:rPr>
        <w:t>, che sospendono o riducono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l'attività lavorativa per eventi riconducibili all'emergenza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epidemiologica da COVID-19 possono presentare, per i lavoratori in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forza alla data di entrata in vigore del presente decreto, domanda di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 xml:space="preserve">trattamento ordinario di integrazione salariale di cui agli </w:t>
      </w:r>
      <w:r w:rsidR="009A01D6" w:rsidRPr="004655DB">
        <w:rPr>
          <w:rFonts w:cs="Verdana"/>
          <w:i/>
          <w:iCs/>
          <w:sz w:val="24"/>
          <w:szCs w:val="24"/>
        </w:rPr>
        <w:t>articoli</w:t>
      </w:r>
      <w:r w:rsidR="00C84EF0" w:rsidRPr="004655DB">
        <w:rPr>
          <w:rFonts w:cs="Verdana"/>
          <w:i/>
          <w:iCs/>
          <w:sz w:val="24"/>
          <w:szCs w:val="24"/>
        </w:rPr>
        <w:t xml:space="preserve"> </w:t>
      </w:r>
      <w:r w:rsidR="009A01D6" w:rsidRPr="004655DB">
        <w:rPr>
          <w:rFonts w:cs="Verdana"/>
          <w:i/>
          <w:iCs/>
          <w:sz w:val="24"/>
          <w:szCs w:val="24"/>
        </w:rPr>
        <w:t xml:space="preserve">19 </w:t>
      </w:r>
      <w:r w:rsidR="009A01D6" w:rsidRPr="004655DB">
        <w:rPr>
          <w:rFonts w:cs="Verdana"/>
          <w:sz w:val="24"/>
          <w:szCs w:val="24"/>
        </w:rPr>
        <w:t xml:space="preserve">e </w:t>
      </w:r>
      <w:r w:rsidR="009A01D6" w:rsidRPr="004655DB">
        <w:rPr>
          <w:rFonts w:cs="Verdana"/>
          <w:i/>
          <w:iCs/>
          <w:sz w:val="24"/>
          <w:szCs w:val="24"/>
        </w:rPr>
        <w:t>20 del decreto-legge 17 marzo 2020, n. 18</w:t>
      </w:r>
      <w:r w:rsidR="009A01D6" w:rsidRPr="004655DB">
        <w:rPr>
          <w:rFonts w:cs="Verdana"/>
          <w:sz w:val="24"/>
          <w:szCs w:val="24"/>
        </w:rPr>
        <w:t>, convertito, con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 xml:space="preserve">modificazioni, dalla </w:t>
      </w:r>
      <w:r w:rsidR="009A01D6" w:rsidRPr="004655DB">
        <w:rPr>
          <w:rFonts w:cs="Verdana"/>
          <w:i/>
          <w:iCs/>
          <w:sz w:val="24"/>
          <w:szCs w:val="24"/>
        </w:rPr>
        <w:t>legge 24 aprile 2020, n. 27</w:t>
      </w:r>
      <w:r w:rsidR="009A01D6" w:rsidRPr="004655DB">
        <w:rPr>
          <w:rFonts w:cs="Verdana"/>
          <w:sz w:val="24"/>
          <w:szCs w:val="24"/>
        </w:rPr>
        <w:t>, per una durata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massima di nove settimane nel periodo tra il 1° ottobre e il 31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dicembre 2021, secondo le modalità previste al comma 4. Per i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trattamenti concessi ai sensi del presente comma non è dovuto alcun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contributo addizionale. I trattamenti di cui al presente comma sono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concessi nel limite massimo di spesa pari a 140,5 milioni di euro per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l'anno 2021. L'INPS provvede al monitoraggio del limite di spesa di cui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al presente comma. Qualora dal predetto monitoraggio emerga che è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stato raggiunto anche in via prospettica il limite di spesa, l'INPS non</w:t>
      </w:r>
      <w:r w:rsidR="00C84EF0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prende in considerazione ulteriori domande.</w:t>
      </w:r>
    </w:p>
    <w:p w:rsidR="004655DB" w:rsidRPr="004655DB" w:rsidRDefault="004655DB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Pr="004655DB" w:rsidRDefault="009A01D6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3. </w:t>
      </w:r>
      <w:r w:rsidR="004655DB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Le tredici settimane dei trattamenti di cui al comma 1 sono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riconosciute ai datori di lavoro ai quali sia stato già interamente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autorizzato il periodo di ventotto </w:t>
      </w:r>
      <w:r w:rsidR="00C84EF0" w:rsidRPr="004655DB">
        <w:rPr>
          <w:rFonts w:cs="Verdana"/>
          <w:sz w:val="24"/>
          <w:szCs w:val="24"/>
        </w:rPr>
        <w:t>s</w:t>
      </w:r>
      <w:r w:rsidRPr="004655DB">
        <w:rPr>
          <w:rFonts w:cs="Verdana"/>
          <w:sz w:val="24"/>
          <w:szCs w:val="24"/>
        </w:rPr>
        <w:t>ettimane di cui all'</w:t>
      </w:r>
      <w:r w:rsidRPr="004655DB">
        <w:rPr>
          <w:rFonts w:cs="Verdana"/>
          <w:i/>
          <w:iCs/>
          <w:sz w:val="24"/>
          <w:szCs w:val="24"/>
        </w:rPr>
        <w:t>articolo 8, comma</w:t>
      </w:r>
      <w:r w:rsidR="00C84EF0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2, del decreto-legge n. 41 del 2021</w:t>
      </w:r>
      <w:r w:rsidRPr="004655DB">
        <w:rPr>
          <w:rFonts w:cs="Verdana"/>
          <w:sz w:val="24"/>
          <w:szCs w:val="24"/>
        </w:rPr>
        <w:t>, decorso il periodo autorizzato. Le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nove settimane di cui al comma 2 sono riconosciute ai datori di lavoro</w:t>
      </w:r>
      <w:r w:rsid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di cui all'</w:t>
      </w:r>
      <w:r w:rsidRPr="004655DB">
        <w:rPr>
          <w:rFonts w:cs="Verdana"/>
          <w:i/>
          <w:iCs/>
          <w:sz w:val="24"/>
          <w:szCs w:val="24"/>
        </w:rPr>
        <w:t>articolo 50-bis, comma 2 del decreto-legge n. 73 del 2021</w:t>
      </w:r>
      <w:r w:rsidRPr="004655DB">
        <w:rPr>
          <w:rFonts w:cs="Verdana"/>
          <w:sz w:val="24"/>
          <w:szCs w:val="24"/>
        </w:rPr>
        <w:t>,</w:t>
      </w:r>
      <w:r w:rsidR="00C84EF0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decorso il periodo autorizzato.</w:t>
      </w:r>
    </w:p>
    <w:p w:rsidR="009A01D6" w:rsidRDefault="009A01D6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4. </w:t>
      </w:r>
      <w:r w:rsidR="004655DB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Le domande di accesso ai trattamenti di cui al presente articolo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sono inoltrate all'INPS, a pena di decadenza, entro la fine del mese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successivo a quello in cui ha avuto inizio il periodo di sospensione o di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riduzione dell'attività lavorativa. In fase di prima applicazione, il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termine di decadenza di cui al presente comma è fissato entro la fine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 mese successivo a quello di entrata in vigore del presente decreto.</w:t>
      </w:r>
    </w:p>
    <w:p w:rsidR="004655DB" w:rsidRPr="004655DB" w:rsidRDefault="004655DB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5.</w:t>
      </w:r>
      <w:r w:rsidR="004655DB">
        <w:rPr>
          <w:rFonts w:cs="Verdana"/>
          <w:sz w:val="24"/>
          <w:szCs w:val="24"/>
        </w:rPr>
        <w:tab/>
      </w:r>
      <w:r w:rsidRPr="004655DB">
        <w:rPr>
          <w:rFonts w:cs="Verdana"/>
          <w:sz w:val="24"/>
          <w:szCs w:val="24"/>
        </w:rPr>
        <w:t xml:space="preserve"> In caso di pagamento diretto delle prestazioni di cui al presente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articolo da parte dell'INPS, ferma restando la possibilità di ricorrere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all'anticipazione di cui all'</w:t>
      </w:r>
      <w:r w:rsidRPr="004655DB">
        <w:rPr>
          <w:rFonts w:cs="Verdana"/>
          <w:i/>
          <w:iCs/>
          <w:sz w:val="24"/>
          <w:szCs w:val="24"/>
        </w:rPr>
        <w:t>articolo 22-quater, comma 4, del decreto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legge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n. 18 del 2020</w:t>
      </w:r>
      <w:r w:rsidRPr="004655DB">
        <w:rPr>
          <w:rFonts w:cs="Verdana"/>
          <w:sz w:val="24"/>
          <w:szCs w:val="24"/>
        </w:rPr>
        <w:t>, il datore di lavoro è tenuto a inviare all'Istituto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tutti i dati necessari per il pagamento o per il saldo </w:t>
      </w:r>
      <w:r w:rsidR="00864315" w:rsidRPr="004655DB">
        <w:rPr>
          <w:rFonts w:cs="Verdana"/>
          <w:sz w:val="24"/>
          <w:szCs w:val="24"/>
        </w:rPr>
        <w:t>d</w:t>
      </w:r>
      <w:r w:rsidRPr="004655DB">
        <w:rPr>
          <w:rFonts w:cs="Verdana"/>
          <w:sz w:val="24"/>
          <w:szCs w:val="24"/>
        </w:rPr>
        <w:t>ell'integrazione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salariale entro la fine del mese successivo a quello in cui è collocato il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periodo di integrazione salariale, oppure, se posteriore, entro il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termine di trenta giorni dall'adozione del provvedimento di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concessione. In sede di prima applicazione, i termini di cui al presente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comma sono spostati al trentesimo giorno successivo alla data di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entrata in vigore del presente decreto, se tale ultima data è posteriore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 quella di cui al primo periodo. Trascorsi inutilmente tali termini, il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pagamento della prestazione e gli oneri ad essa connessi rimangono a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carico del datore di lavoro inadempiente.</w:t>
      </w:r>
    </w:p>
    <w:p w:rsidR="004655DB" w:rsidRPr="004655DB" w:rsidRDefault="004655DB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6. </w:t>
      </w:r>
      <w:r w:rsidR="004655DB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I Fondi di cui all'</w:t>
      </w:r>
      <w:r w:rsidRPr="004655DB">
        <w:rPr>
          <w:rFonts w:cs="Verdana"/>
          <w:i/>
          <w:iCs/>
          <w:sz w:val="24"/>
          <w:szCs w:val="24"/>
        </w:rPr>
        <w:t>articolo 27 del decreto legislativo 14 settembre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2015, n. 148</w:t>
      </w:r>
      <w:r w:rsidRPr="004655DB">
        <w:rPr>
          <w:rFonts w:cs="Verdana"/>
          <w:sz w:val="24"/>
          <w:szCs w:val="24"/>
        </w:rPr>
        <w:t>, garantiscono l'erogazione dell'assegno ordinario di cui al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comma 1 con le medesime modalità di cui al presente articolo. Le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risorse di cui all'</w:t>
      </w:r>
      <w:r w:rsidRPr="004655DB">
        <w:rPr>
          <w:rFonts w:cs="Verdana"/>
          <w:i/>
          <w:iCs/>
          <w:sz w:val="24"/>
          <w:szCs w:val="24"/>
        </w:rPr>
        <w:t>articolo 8, comma 7, del decreto-legge n. 41 del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2021</w:t>
      </w:r>
      <w:r w:rsidRPr="004655DB">
        <w:rPr>
          <w:rFonts w:cs="Verdana"/>
          <w:sz w:val="24"/>
          <w:szCs w:val="24"/>
        </w:rPr>
        <w:t>, sono rideterminate in 844 milioni di euro a valere sulle quali è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garantita anche l'erogazione dell'assegno ordinario di cui al comma 1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 le risorse dell'</w:t>
      </w:r>
      <w:r w:rsidRPr="004655DB">
        <w:rPr>
          <w:rFonts w:cs="Verdana"/>
          <w:i/>
          <w:iCs/>
          <w:sz w:val="24"/>
          <w:szCs w:val="24"/>
        </w:rPr>
        <w:t>articolo 1, comma 303, della legge 30 dicembre 2020,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n. 178</w:t>
      </w:r>
      <w:r w:rsidRPr="004655DB">
        <w:rPr>
          <w:rFonts w:cs="Verdana"/>
          <w:sz w:val="24"/>
          <w:szCs w:val="24"/>
        </w:rPr>
        <w:t>, sono rideterminate in 700 milioni di euro. I Fondi erogano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l'assegno ordinario nel limite delle risorse indicate al secondo periodo.</w:t>
      </w:r>
    </w:p>
    <w:p w:rsidR="004655DB" w:rsidRPr="004655DB" w:rsidRDefault="004655DB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7. </w:t>
      </w:r>
      <w:r w:rsidR="0021343C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Ai datori di lavoro che presentano domanda di integrazione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salariale ai sensi dei commi 1, 2 e 6 resta precluso l'avvio delle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procedure di cui agli </w:t>
      </w:r>
      <w:r w:rsidRPr="004655DB">
        <w:rPr>
          <w:rFonts w:cs="Verdana"/>
          <w:i/>
          <w:iCs/>
          <w:sz w:val="24"/>
          <w:szCs w:val="24"/>
        </w:rPr>
        <w:t>articoli 4</w:t>
      </w:r>
      <w:r w:rsidRPr="004655DB">
        <w:rPr>
          <w:rFonts w:cs="Verdana"/>
          <w:sz w:val="24"/>
          <w:szCs w:val="24"/>
        </w:rPr>
        <w:t xml:space="preserve">, </w:t>
      </w:r>
      <w:r w:rsidRPr="004655DB">
        <w:rPr>
          <w:rFonts w:cs="Verdana"/>
          <w:i/>
          <w:iCs/>
          <w:sz w:val="24"/>
          <w:szCs w:val="24"/>
        </w:rPr>
        <w:t xml:space="preserve">5 </w:t>
      </w:r>
      <w:r w:rsidRPr="004655DB">
        <w:rPr>
          <w:rFonts w:cs="Verdana"/>
          <w:sz w:val="24"/>
          <w:szCs w:val="24"/>
        </w:rPr>
        <w:t xml:space="preserve">e </w:t>
      </w:r>
      <w:r w:rsidRPr="004655DB">
        <w:rPr>
          <w:rFonts w:cs="Verdana"/>
          <w:i/>
          <w:iCs/>
          <w:sz w:val="24"/>
          <w:szCs w:val="24"/>
        </w:rPr>
        <w:t>24 della legge 23 luglio 1991, n.223</w:t>
      </w:r>
      <w:r w:rsidRPr="004655DB">
        <w:rPr>
          <w:rFonts w:cs="Verdana"/>
          <w:sz w:val="24"/>
          <w:szCs w:val="24"/>
        </w:rPr>
        <w:t>, per la durata della fruizione del trattamento di</w:t>
      </w:r>
      <w:r w:rsidR="00864315" w:rsidRPr="004655DB">
        <w:rPr>
          <w:rFonts w:cs="Verdana"/>
          <w:sz w:val="24"/>
          <w:szCs w:val="24"/>
        </w:rPr>
        <w:t xml:space="preserve"> i</w:t>
      </w:r>
      <w:r w:rsidRPr="004655DB">
        <w:rPr>
          <w:rFonts w:cs="Verdana"/>
          <w:sz w:val="24"/>
          <w:szCs w:val="24"/>
        </w:rPr>
        <w:t>ntegrazione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salariale. Ai medesimi soggetti di cui al primo periodo resta, altresì,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preclusa nel medesimo periodo, indipendentemente dal numero dei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dipendenti, la facoltà di recedere dal contratto per giustificato motivo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oggettivo ai sensi dell'</w:t>
      </w:r>
      <w:r w:rsidRPr="004655DB">
        <w:rPr>
          <w:rFonts w:cs="Verdana"/>
          <w:i/>
          <w:iCs/>
          <w:sz w:val="24"/>
          <w:szCs w:val="24"/>
        </w:rPr>
        <w:t>articolo 3 della legge 15 luglio 1966, n. 604</w:t>
      </w:r>
      <w:r w:rsidRPr="004655DB">
        <w:rPr>
          <w:rFonts w:cs="Verdana"/>
          <w:sz w:val="24"/>
          <w:szCs w:val="24"/>
        </w:rPr>
        <w:t>, 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restano altresì sospese le procedure in corso di cui all'</w:t>
      </w:r>
      <w:r w:rsidRPr="004655DB">
        <w:rPr>
          <w:rFonts w:cs="Verdana"/>
          <w:i/>
          <w:iCs/>
          <w:sz w:val="24"/>
          <w:szCs w:val="24"/>
        </w:rPr>
        <w:t>articolo 7 della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medesima legge</w:t>
      </w:r>
      <w:r w:rsidRPr="004655DB">
        <w:rPr>
          <w:rFonts w:cs="Verdana"/>
          <w:sz w:val="24"/>
          <w:szCs w:val="24"/>
        </w:rPr>
        <w:t>.</w:t>
      </w:r>
    </w:p>
    <w:p w:rsidR="0021343C" w:rsidRPr="004655DB" w:rsidRDefault="0021343C" w:rsidP="004655D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Pr="004655DB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8. </w:t>
      </w:r>
      <w:r w:rsidR="0021343C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Le sospensioni e le preclusioni di cui al comma 7 non si applicano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nelle ipotesi di licenziamenti motivati dalla cessazione definitiva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dell'attività dell'impresa oppure dalla cessazione definitiva dell'attività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di impresa conseguente alla messa in liquidazione della società senza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continuazione, anche parziale, dell'attività, nei casi in cui nel corso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della liquidazione non si configuri la cessione di un complesso di beni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o attività che possano configurare un trasferimento d'azienda o di un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ramo di essa ai sensi dell'articolo 2112 del codice civile o nelle ipotesi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di accordo collettivo aziendale, stipulato dalle organizzazioni sindacali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comparativamente più rappresentative a livello nazionale, di incentivo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alla risoluzione del rapporto di lavoro, limitatamente ai lavoratori che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aderiscono al predetto accordo. A detti lavoratori è comunque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riconosciuto il trattamento di cui all'</w:t>
      </w:r>
      <w:r w:rsidRPr="004655DB">
        <w:rPr>
          <w:rFonts w:cs="Verdana"/>
          <w:i/>
          <w:iCs/>
          <w:sz w:val="24"/>
          <w:szCs w:val="24"/>
        </w:rPr>
        <w:t>articolo 1 del decreto legislativo 4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marzo 2015, n. 22</w:t>
      </w:r>
      <w:r w:rsidRPr="004655DB">
        <w:rPr>
          <w:rFonts w:cs="Verdana"/>
          <w:sz w:val="24"/>
          <w:szCs w:val="24"/>
        </w:rPr>
        <w:t>. Sono altresì esclusi dal divieto i licenziamenti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intimati in caso di fallimento, quando non sia previsto l'esercizio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provvisorio dell'impresa o ne sia disposta la cessazione. Nel caso in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cui l'esercizio provvisorio sia disposto per uno specifico ramo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dell'azienda, sono esclusi dal divieto i licenziamenti riguardanti 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settori non compresi nello stesso.</w:t>
      </w:r>
    </w:p>
    <w:p w:rsidR="009A01D6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9.</w:t>
      </w:r>
      <w:r>
        <w:rPr>
          <w:rFonts w:cs="Verdana"/>
          <w:sz w:val="24"/>
          <w:szCs w:val="24"/>
        </w:rPr>
        <w:tab/>
        <w:t xml:space="preserve"> </w:t>
      </w:r>
      <w:r w:rsidR="009A01D6" w:rsidRPr="004655DB">
        <w:rPr>
          <w:rFonts w:cs="Verdana"/>
          <w:sz w:val="24"/>
          <w:szCs w:val="24"/>
        </w:rPr>
        <w:t>Il limite di spesa di cui all'</w:t>
      </w:r>
      <w:r w:rsidR="009A01D6" w:rsidRPr="004655DB">
        <w:rPr>
          <w:rFonts w:cs="Verdana"/>
          <w:i/>
          <w:iCs/>
          <w:sz w:val="24"/>
          <w:szCs w:val="24"/>
        </w:rPr>
        <w:t>articolo 50-bis, comma 2, del decreto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="009A01D6" w:rsidRPr="004655DB">
        <w:rPr>
          <w:rFonts w:cs="Verdana"/>
          <w:i/>
          <w:iCs/>
          <w:sz w:val="24"/>
          <w:szCs w:val="24"/>
        </w:rPr>
        <w:t>legge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="009A01D6" w:rsidRPr="004655DB">
        <w:rPr>
          <w:rFonts w:cs="Verdana"/>
          <w:i/>
          <w:iCs/>
          <w:sz w:val="24"/>
          <w:szCs w:val="24"/>
        </w:rPr>
        <w:t>n. 73 del 2021</w:t>
      </w:r>
      <w:r w:rsidR="009A01D6" w:rsidRPr="004655DB">
        <w:rPr>
          <w:rFonts w:cs="Verdana"/>
          <w:sz w:val="24"/>
          <w:szCs w:val="24"/>
        </w:rPr>
        <w:t>, è incrementato di 80 milioni di euro per l'anno</w:t>
      </w:r>
      <w:r w:rsidR="00864315" w:rsidRPr="004655DB">
        <w:rPr>
          <w:rFonts w:cs="Verdana"/>
          <w:sz w:val="24"/>
          <w:szCs w:val="24"/>
        </w:rPr>
        <w:t xml:space="preserve"> </w:t>
      </w:r>
      <w:r w:rsidR="009A01D6" w:rsidRPr="004655DB">
        <w:rPr>
          <w:rFonts w:cs="Verdana"/>
          <w:sz w:val="24"/>
          <w:szCs w:val="24"/>
        </w:rPr>
        <w:t>2021.</w:t>
      </w:r>
    </w:p>
    <w:p w:rsidR="009A01D6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10. </w:t>
      </w:r>
      <w:r w:rsidR="0021343C">
        <w:rPr>
          <w:rFonts w:cs="Verdana"/>
          <w:sz w:val="24"/>
          <w:szCs w:val="24"/>
        </w:rPr>
        <w:tab/>
        <w:t xml:space="preserve"> I</w:t>
      </w:r>
      <w:r w:rsidRPr="004655DB">
        <w:rPr>
          <w:rFonts w:cs="Verdana"/>
          <w:sz w:val="24"/>
          <w:szCs w:val="24"/>
        </w:rPr>
        <w:t>l limite di spesa di cui all'</w:t>
      </w:r>
      <w:r w:rsidRPr="004655DB">
        <w:rPr>
          <w:rFonts w:cs="Verdana"/>
          <w:i/>
          <w:iCs/>
          <w:sz w:val="24"/>
          <w:szCs w:val="24"/>
        </w:rPr>
        <w:t>articolo 40-bis, comma 1, del decreto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legge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n. 73 del 2021</w:t>
      </w:r>
      <w:r w:rsidRPr="004655DB">
        <w:rPr>
          <w:rFonts w:cs="Verdana"/>
          <w:sz w:val="24"/>
          <w:szCs w:val="24"/>
        </w:rPr>
        <w:t>, è rideterminato in 106 milioni di euro per l'anno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2021.</w:t>
      </w:r>
    </w:p>
    <w:p w:rsidR="0021343C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11. </w:t>
      </w:r>
      <w:r w:rsidR="0021343C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Il limite delle minori entrate contributive di cui all'</w:t>
      </w:r>
      <w:r w:rsidRPr="004655DB">
        <w:rPr>
          <w:rFonts w:cs="Verdana"/>
          <w:i/>
          <w:iCs/>
          <w:sz w:val="24"/>
          <w:szCs w:val="24"/>
        </w:rPr>
        <w:t>articolo 41,</w:t>
      </w:r>
      <w:r w:rsidR="00864315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comma 10, del decreto-legge n. 73 del 2021</w:t>
      </w:r>
      <w:r w:rsidRPr="004655DB">
        <w:rPr>
          <w:rFonts w:cs="Verdana"/>
          <w:sz w:val="24"/>
          <w:szCs w:val="24"/>
        </w:rPr>
        <w:t>, è rideterminato in 216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milioni di euro per l'anno 2021 e a 108 milioni di euro per l'anno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2022.</w:t>
      </w:r>
    </w:p>
    <w:p w:rsidR="0021343C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Pr="004655DB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12. </w:t>
      </w:r>
      <w:r w:rsidR="0021343C">
        <w:rPr>
          <w:rFonts w:cs="Verdana"/>
          <w:sz w:val="24"/>
          <w:szCs w:val="24"/>
        </w:rPr>
        <w:tab/>
      </w:r>
      <w:r w:rsidRPr="004655DB">
        <w:rPr>
          <w:rFonts w:cs="Verdana"/>
          <w:sz w:val="24"/>
          <w:szCs w:val="24"/>
        </w:rPr>
        <w:t>Agli oneri derivanti dai commi 1, 2 e 9, pari a 878,4 milioni di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euro per l'anno 2021 e alle minori entrate derivanti dal comma 11</w:t>
      </w:r>
      <w:r w:rsidR="00864315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valutate in 11,4 milioni di euro per l'anno 2023 si provvede:</w:t>
      </w:r>
    </w:p>
    <w:p w:rsidR="009A01D6" w:rsidRPr="004655DB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a) quanto a 456 milioni di euro per l'anno 2021 mediante le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economie derivanti dal comma 6;</w:t>
      </w:r>
    </w:p>
    <w:p w:rsidR="009A01D6" w:rsidRPr="004655DB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b) quanto a 245 milioni di euro per l'anno 2021 mediante le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economie derivanti dal comma 10;</w:t>
      </w:r>
    </w:p>
    <w:p w:rsidR="009A01D6" w:rsidRPr="004655DB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c) quanto a 177,4 milioni di euro per l'anno 2021 mediante quota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delle maggiori entrate derivanti dal comma 11 per tale anno;</w:t>
      </w:r>
    </w:p>
    <w:p w:rsidR="009A01D6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d) quanto a 11,4 milioni di euro per l'anno 2023 ai sensi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dell'articolo 17.</w:t>
      </w:r>
    </w:p>
    <w:p w:rsidR="0021343C" w:rsidRPr="004655DB" w:rsidRDefault="0021343C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13.</w:t>
      </w:r>
      <w:r w:rsidR="0021343C">
        <w:rPr>
          <w:rFonts w:cs="Verdana"/>
          <w:sz w:val="24"/>
          <w:szCs w:val="24"/>
        </w:rPr>
        <w:tab/>
      </w:r>
      <w:r w:rsidRPr="004655DB">
        <w:rPr>
          <w:rFonts w:cs="Verdana"/>
          <w:sz w:val="24"/>
          <w:szCs w:val="24"/>
        </w:rPr>
        <w:t xml:space="preserve"> L'autorizzazione di spesa di cui all'</w:t>
      </w:r>
      <w:r w:rsidRPr="004655DB">
        <w:rPr>
          <w:rFonts w:cs="Verdana"/>
          <w:i/>
          <w:iCs/>
          <w:sz w:val="24"/>
          <w:szCs w:val="24"/>
        </w:rPr>
        <w:t>articolo 12, comma 1, del</w:t>
      </w:r>
      <w:r w:rsidR="004655DB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decreto-legge 28 gennaio 2019, n. 4</w:t>
      </w:r>
      <w:r w:rsidRPr="004655DB">
        <w:rPr>
          <w:rFonts w:cs="Verdana"/>
          <w:sz w:val="24"/>
          <w:szCs w:val="24"/>
        </w:rPr>
        <w:t>, convertito, con modificazioni,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dalla </w:t>
      </w:r>
      <w:r w:rsidRPr="004655DB">
        <w:rPr>
          <w:rFonts w:cs="Verdana"/>
          <w:i/>
          <w:iCs/>
          <w:sz w:val="24"/>
          <w:szCs w:val="24"/>
        </w:rPr>
        <w:t>legge 28 marzo 2019, n. 26</w:t>
      </w:r>
      <w:r w:rsidRPr="004655DB">
        <w:rPr>
          <w:rFonts w:cs="Verdana"/>
          <w:sz w:val="24"/>
          <w:szCs w:val="24"/>
        </w:rPr>
        <w:t>, è incrementata di 200 milioni di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euro per l'anno 2021.</w:t>
      </w:r>
    </w:p>
    <w:p w:rsidR="0021343C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14. </w:t>
      </w:r>
      <w:r w:rsidR="0021343C">
        <w:rPr>
          <w:rFonts w:cs="Verdana"/>
          <w:sz w:val="24"/>
          <w:szCs w:val="24"/>
        </w:rPr>
        <w:tab/>
      </w:r>
      <w:r w:rsidRPr="004655DB">
        <w:rPr>
          <w:rFonts w:cs="Verdana"/>
          <w:sz w:val="24"/>
          <w:szCs w:val="24"/>
        </w:rPr>
        <w:t>Agli oneri derivanti dal comma 13 si provvede ai sensi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dell'articolo 17.</w:t>
      </w:r>
    </w:p>
    <w:p w:rsidR="0021343C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15. </w:t>
      </w:r>
      <w:r w:rsidR="0021343C">
        <w:rPr>
          <w:rFonts w:cs="Verdana"/>
          <w:sz w:val="24"/>
          <w:szCs w:val="24"/>
        </w:rPr>
        <w:tab/>
      </w:r>
      <w:r w:rsidRPr="004655DB">
        <w:rPr>
          <w:rFonts w:cs="Verdana"/>
          <w:sz w:val="24"/>
          <w:szCs w:val="24"/>
        </w:rPr>
        <w:t>All'</w:t>
      </w:r>
      <w:r w:rsidRPr="004655DB">
        <w:rPr>
          <w:rFonts w:cs="Verdana"/>
          <w:i/>
          <w:iCs/>
          <w:sz w:val="24"/>
          <w:szCs w:val="24"/>
        </w:rPr>
        <w:t>articolo 31, comma 1, del decreto legislativo 15 giugno 2015,</w:t>
      </w:r>
      <w:r w:rsidR="004655DB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n. 81</w:t>
      </w:r>
      <w:r w:rsidRPr="004655DB">
        <w:rPr>
          <w:rFonts w:cs="Verdana"/>
          <w:sz w:val="24"/>
          <w:szCs w:val="24"/>
        </w:rPr>
        <w:t>, il quinto periodo è soppresso.</w:t>
      </w:r>
    </w:p>
    <w:p w:rsidR="0021343C" w:rsidRPr="004655DB" w:rsidRDefault="0021343C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</w:p>
    <w:p w:rsidR="009A01D6" w:rsidRPr="004655DB" w:rsidRDefault="009A01D6" w:rsidP="0021343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16. </w:t>
      </w:r>
      <w:r w:rsidR="0021343C">
        <w:rPr>
          <w:rFonts w:cs="Verdana"/>
          <w:sz w:val="24"/>
          <w:szCs w:val="24"/>
        </w:rPr>
        <w:tab/>
        <w:t xml:space="preserve"> </w:t>
      </w:r>
      <w:r w:rsidRPr="004655DB">
        <w:rPr>
          <w:rFonts w:cs="Verdana"/>
          <w:sz w:val="24"/>
          <w:szCs w:val="24"/>
        </w:rPr>
        <w:t>All'</w:t>
      </w:r>
      <w:r w:rsidRPr="004655DB">
        <w:rPr>
          <w:rFonts w:cs="Verdana"/>
          <w:i/>
          <w:iCs/>
          <w:sz w:val="24"/>
          <w:szCs w:val="24"/>
        </w:rPr>
        <w:t>articolo 1 della legge 30 dicembre 2018, n. 145</w:t>
      </w:r>
      <w:r w:rsidRPr="004655DB">
        <w:rPr>
          <w:rFonts w:cs="Verdana"/>
          <w:sz w:val="24"/>
          <w:szCs w:val="24"/>
        </w:rPr>
        <w:t>, sono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apportate le seguenti modificazioni:</w:t>
      </w:r>
    </w:p>
    <w:p w:rsidR="009A01D6" w:rsidRPr="004655DB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a) dopo il </w:t>
      </w:r>
      <w:r w:rsidRPr="004655DB">
        <w:rPr>
          <w:rFonts w:cs="Verdana"/>
          <w:i/>
          <w:iCs/>
          <w:sz w:val="24"/>
          <w:szCs w:val="24"/>
        </w:rPr>
        <w:t>comma 251-bis</w:t>
      </w:r>
      <w:r w:rsidRPr="004655DB">
        <w:rPr>
          <w:rFonts w:cs="Verdana"/>
          <w:sz w:val="24"/>
          <w:szCs w:val="24"/>
        </w:rPr>
        <w:t>, è aggiunto il seguente: «251-ter. Ai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lavoratori di cui all'articolo 251-bis che, a norma del medesimo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comma, nell'anno 2020 abbiano presentato richiesta per la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concessione dell'indennità di cui al comma 251, la stessa indennità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può essere concessa in continuità fino al 31 dicembre 2021.»;</w:t>
      </w:r>
    </w:p>
    <w:p w:rsidR="009A01D6" w:rsidRPr="004655DB" w:rsidRDefault="009A01D6" w:rsidP="009A01D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 xml:space="preserve">b) al </w:t>
      </w:r>
      <w:r w:rsidRPr="004655DB">
        <w:rPr>
          <w:rFonts w:cs="Verdana"/>
          <w:i/>
          <w:iCs/>
          <w:sz w:val="24"/>
          <w:szCs w:val="24"/>
        </w:rPr>
        <w:t>comma 253</w:t>
      </w:r>
      <w:r w:rsidRPr="004655DB">
        <w:rPr>
          <w:rFonts w:cs="Verdana"/>
          <w:sz w:val="24"/>
          <w:szCs w:val="24"/>
        </w:rPr>
        <w:t>, le parole «dei commi 251 e 251-bis», sono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sostituite dalle seguenti: «dei commi 251, 251-bis e 251-ter».</w:t>
      </w:r>
    </w:p>
    <w:p w:rsidR="009A01D6" w:rsidRPr="004655DB" w:rsidRDefault="009A01D6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4655DB">
        <w:rPr>
          <w:rFonts w:cs="Verdana"/>
          <w:sz w:val="24"/>
          <w:szCs w:val="24"/>
        </w:rPr>
        <w:t>17. I benefici di cui al comma 16 sono concessi nel limite di 1,39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milioni di euro per l'anno 2021. Agli oneri derivanti dal primo periodo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 presente comma si provvede mediante corrispondente riduzione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>dell'autorizzazione di spesa di cui all'</w:t>
      </w:r>
      <w:r w:rsidRPr="004655DB">
        <w:rPr>
          <w:rFonts w:cs="Verdana"/>
          <w:i/>
          <w:iCs/>
          <w:sz w:val="24"/>
          <w:szCs w:val="24"/>
        </w:rPr>
        <w:t>articolo 58-bis, comma 5, del</w:t>
      </w:r>
      <w:r w:rsidR="004655DB" w:rsidRPr="004655DB">
        <w:rPr>
          <w:rFonts w:cs="Verdana"/>
          <w:i/>
          <w:iCs/>
          <w:sz w:val="24"/>
          <w:szCs w:val="24"/>
        </w:rPr>
        <w:t xml:space="preserve"> </w:t>
      </w:r>
      <w:r w:rsidRPr="004655DB">
        <w:rPr>
          <w:rFonts w:cs="Verdana"/>
          <w:i/>
          <w:iCs/>
          <w:sz w:val="24"/>
          <w:szCs w:val="24"/>
        </w:rPr>
        <w:t>decreto-legge 26 ottobre 2019, n. 124</w:t>
      </w:r>
      <w:r w:rsidRPr="004655DB">
        <w:rPr>
          <w:rFonts w:cs="Verdana"/>
          <w:sz w:val="24"/>
          <w:szCs w:val="24"/>
        </w:rPr>
        <w:t>, convertito, con modificazioni,</w:t>
      </w:r>
      <w:r w:rsidR="004655DB" w:rsidRPr="004655DB">
        <w:rPr>
          <w:rFonts w:cs="Verdana"/>
          <w:sz w:val="24"/>
          <w:szCs w:val="24"/>
        </w:rPr>
        <w:t xml:space="preserve"> </w:t>
      </w:r>
      <w:r w:rsidRPr="004655DB">
        <w:rPr>
          <w:rFonts w:cs="Verdana"/>
          <w:sz w:val="24"/>
          <w:szCs w:val="24"/>
        </w:rPr>
        <w:t xml:space="preserve">dalla </w:t>
      </w:r>
      <w:r w:rsidRPr="004655DB">
        <w:rPr>
          <w:rFonts w:cs="Verdana"/>
          <w:i/>
          <w:iCs/>
          <w:sz w:val="24"/>
          <w:szCs w:val="24"/>
        </w:rPr>
        <w:t>legge 19 dicembre 2019, n. 157</w:t>
      </w:r>
      <w:r w:rsidRPr="004655DB">
        <w:rPr>
          <w:rFonts w:cs="Verdana"/>
          <w:sz w:val="24"/>
          <w:szCs w:val="24"/>
        </w:rPr>
        <w:t>.</w:t>
      </w:r>
    </w:p>
    <w:p w:rsidR="004655DB" w:rsidRDefault="004655DB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</w:p>
    <w:p w:rsidR="004655DB" w:rsidRPr="002E33DF" w:rsidRDefault="004655DB" w:rsidP="004655DB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***************************</w:t>
      </w:r>
    </w:p>
    <w:sectPr w:rsidR="004655DB" w:rsidRPr="002E33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0DAC"/>
    <w:multiLevelType w:val="hybridMultilevel"/>
    <w:tmpl w:val="0630C3A4"/>
    <w:lvl w:ilvl="0" w:tplc="33CEB70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B49DF"/>
    <w:multiLevelType w:val="hybridMultilevel"/>
    <w:tmpl w:val="C5803B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6"/>
    <w:rsid w:val="001360A2"/>
    <w:rsid w:val="0021343C"/>
    <w:rsid w:val="002D3D45"/>
    <w:rsid w:val="002E33DF"/>
    <w:rsid w:val="004655DB"/>
    <w:rsid w:val="00594682"/>
    <w:rsid w:val="00864315"/>
    <w:rsid w:val="009A01D6"/>
    <w:rsid w:val="00C84EF0"/>
    <w:rsid w:val="00E2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1A68B-CC09-42B4-A23B-8263FF2E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Minchio</dc:creator>
  <cp:keywords/>
  <dc:description/>
  <cp:lastModifiedBy>Liana Minchio</cp:lastModifiedBy>
  <cp:revision>6</cp:revision>
  <dcterms:created xsi:type="dcterms:W3CDTF">2021-10-28T08:53:00Z</dcterms:created>
  <dcterms:modified xsi:type="dcterms:W3CDTF">2021-10-28T14:29:00Z</dcterms:modified>
</cp:coreProperties>
</file>